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КАЗАХСКИЙ НАЦИОНАЛЬНЫЙ УНИВЕРСИТЕТ ИМЕНИ АЛЬ-ФАРАБИ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Факультет медицины и здравоохранения </w:t>
      </w:r>
    </w:p>
    <w:p w:rsidR="00000000" w:rsidDel="00000000" w:rsidP="00000000" w:rsidRDefault="00000000" w:rsidRPr="00000000" w14:paraId="00000003">
      <w:pPr>
        <w:jc w:val="center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Высш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ая школа медицины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Кафедра фундаментальной медицины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666" w:lineRule="auto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выпускного экзамена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3" w:lineRule="auto"/>
        <w:ind w:right="878"/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клеточная и молекулярная патобиология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Cell and molecular pathobiology»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highlight w:val="white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353" w:hanging="2353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353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8" w:firstLine="0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Утвержденная форма итогового экзамена - письменный экзамен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6" w:firstLine="0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319" w:lineRule="auto"/>
        <w:ind w:left="11" w:right="34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Ожидаемые результаты: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Магистранты на выпускном экзамене должны: </w:t>
      </w:r>
    </w:p>
    <w:p w:rsidR="00000000" w:rsidDel="00000000" w:rsidP="00000000" w:rsidRDefault="00000000" w:rsidRPr="00000000" w14:paraId="0000000D">
      <w:pPr>
        <w:ind w:left="16" w:firstLine="0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202124"/>
          <w:sz w:val="28"/>
          <w:szCs w:val="28"/>
          <w:u w:val="none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0"/>
        </w:rPr>
        <w:t xml:space="preserve">Продемонстрировать знание основных концепций общей клеточной и молекулярной биологии;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202124"/>
          <w:sz w:val="28"/>
          <w:szCs w:val="28"/>
          <w:u w:val="none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0"/>
        </w:rPr>
        <w:t xml:space="preserve">Продемонстрировать знание патологических процессов в клеточной молекулярной биологии болезней человека. Общие принципы построения биомедицинских экспериментов.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202124"/>
          <w:sz w:val="28"/>
          <w:szCs w:val="28"/>
          <w:u w:val="none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0"/>
        </w:rPr>
        <w:t xml:space="preserve">Продемонстрировать аналитические навыки в интеграции знаний по патобиологии при формировании суждений относительно общей молекулярной биологии.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line="308.5714285714286" w:lineRule="auto"/>
        <w:ind w:left="720" w:hanging="360"/>
        <w:rPr>
          <w:rFonts w:ascii="Times New Roman" w:cs="Times New Roman" w:eastAsia="Times New Roman" w:hAnsi="Times New Roman"/>
          <w:color w:val="202124"/>
          <w:sz w:val="28"/>
          <w:szCs w:val="28"/>
          <w:u w:val="none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0"/>
        </w:rPr>
        <w:t xml:space="preserve">Интерпретировать результаты конкретных молекулярных методов диагностики.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line="308.5714285714286" w:lineRule="auto"/>
        <w:ind w:left="720" w:hanging="360"/>
        <w:rPr>
          <w:rFonts w:ascii="Times New Roman" w:cs="Times New Roman" w:eastAsia="Times New Roman" w:hAnsi="Times New Roman"/>
          <w:color w:val="202124"/>
          <w:sz w:val="28"/>
          <w:szCs w:val="28"/>
          <w:u w:val="none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0"/>
        </w:rPr>
        <w:t xml:space="preserve">Эффективно общаться с другими студентами, исследователями и преподавателями относительно медицинской и научной информации,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308.5714285714286" w:lineRule="auto"/>
        <w:ind w:left="720" w:hanging="360"/>
        <w:rPr>
          <w:rFonts w:ascii="Times New Roman" w:cs="Times New Roman" w:eastAsia="Times New Roman" w:hAnsi="Times New Roman"/>
          <w:color w:val="202124"/>
          <w:sz w:val="28"/>
          <w:szCs w:val="28"/>
          <w:u w:val="none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shd w:fill="f8f9fa" w:val="clear"/>
          <w:rtl w:val="0"/>
        </w:rPr>
        <w:t xml:space="preserve">Четко формулировать их мнения при обсуждении клеточных и молекулярных патобиологических процессов и их воздействия, а также эффективно работать в качестве члена исследовательской группы.</w:t>
      </w:r>
    </w:p>
    <w:p w:rsidR="00000000" w:rsidDel="00000000" w:rsidP="00000000" w:rsidRDefault="00000000" w:rsidRPr="00000000" w14:paraId="00000014">
      <w:pPr>
        <w:ind w:left="1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6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Темы, включенные в итоговый экзамен: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7" w:right="1925" w:firstLine="3.0000000000000004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1925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Примерная типология экзаменационных заданий </w:t>
      </w:r>
    </w:p>
    <w:p w:rsidR="00000000" w:rsidDel="00000000" w:rsidP="00000000" w:rsidRDefault="00000000" w:rsidRPr="00000000" w14:paraId="00000018">
      <w:pPr>
        <w:ind w:right="419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before="3" w:lineRule="auto"/>
        <w:ind w:left="720" w:hanging="36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DNA replication and repair mechanism.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before="3" w:lineRule="auto"/>
        <w:ind w:left="720" w:hanging="36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Transcription and translation of genetic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before="3" w:lineRule="auto"/>
        <w:ind w:left="720" w:hanging="36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Genetics. Gene expression. Transcription factors: regulation of translation.  Main intracellular signal transduction pathways.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before="3" w:lineRule="auto"/>
        <w:ind w:left="720" w:hanging="36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DNA damage and genetics of disease development.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before="3" w:lineRule="auto"/>
        <w:ind w:left="720" w:hanging="36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Cell cycle and DNA repair. DNA damage and mutation.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before="3" w:lineRule="auto"/>
        <w:ind w:left="720" w:hanging="36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Inflectional or viral agent responsible for disease occurrence and progression in human. Molecular mechanism.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Epigenetics, epigenetic regulation of gene expression. Mechanisms of epigenetic regulation: DNA methylation.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highlight w:val="white"/>
          <w:u w:val="none"/>
          <w:vertAlign w:val="baseline"/>
          <w:rtl w:val="0"/>
        </w:rPr>
        <w:t xml:space="preserve">Human diseases linked with epigenetic. Example: molecular mechanism.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highlight w:val="white"/>
          <w:u w:val="none"/>
          <w:vertAlign w:val="baseline"/>
          <w:rtl w:val="0"/>
        </w:rPr>
        <w:t xml:space="preserve">Epigenetic changes that responsible for human diseases. Example: molecular mechanism.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Cancer Genetics and Genomics, Cancer genetics and genomics, hereditary cancer syndromes and familial occurrence of cancer.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before="3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Modern diagnostic techniques in medicine. DNA technology, genome sequencing: Sanger method, Next Generation sequencing, Immunohistochemistry, FISH.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3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3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3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3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Инструкции по технологии проведения экзамена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335" w:lineRule="auto"/>
        <w:ind w:left="39" w:firstLine="0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Экзамен длится 3 часа.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33" w:lineRule="auto"/>
        <w:ind w:left="10" w:right="100" w:firstLine="1.0000000000000009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 указанное время студент заходит на сайт «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https://classroom.google.com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». 3. Студент получает доступ. 4. Билеты для каждого студента оформляются автоматически.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8" w:right="157" w:firstLine="11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Экзамен начинается с обязательного наблюдателя (нельзя выключать камеру и микрофон): - Вам понадобится ноутбук с веб-камерой или домашний компьютер. В противном случае вы можете использовать камеру вашего смартфона, например, с клиентским приложением DroidCam.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5" w:lineRule="auto"/>
        <w:ind w:left="8" w:right="163" w:firstLine="1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Ответ печатается в самой программе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https://classroom.google.com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 Прием рукописного бланка ответа на бумаге НЕ предусмотрен.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6" w:lineRule="auto"/>
        <w:ind w:left="16" w:right="100" w:hanging="1.0000000000000009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По окончании экзамена студент нажимает кнопку «Готово».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253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ind w:left="720" w:firstLine="0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576" w:lineRule="auto"/>
        <w:ind w:left="3188" w:firstLine="0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Шкала качества ответ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ов</w:t>
      </w:r>
    </w:p>
    <w:tbl>
      <w:tblPr>
        <w:tblStyle w:val="Table1"/>
        <w:tblW w:w="9563.0" w:type="dxa"/>
        <w:jc w:val="left"/>
        <w:tblInd w:w="0.0" w:type="dxa"/>
        <w:tblLayout w:type="fixed"/>
        <w:tblLook w:val="0400"/>
      </w:tblPr>
      <w:tblGrid>
        <w:gridCol w:w="1353"/>
        <w:gridCol w:w="6848"/>
        <w:gridCol w:w="1362"/>
        <w:tblGridChange w:id="0">
          <w:tblGrid>
            <w:gridCol w:w="1353"/>
            <w:gridCol w:w="6848"/>
            <w:gridCol w:w="1362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Оценка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Критерии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Шкала, баллы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ind w:left="31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отлично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ind w:left="27" w:firstLine="2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1. все ключевые аспекты включены и представлены логически; 2. высокая точность (актуальность, без избыточности) и постоянная фокусировка на вопросе;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before="15" w:lineRule="auto"/>
              <w:ind w:left="32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3. отличная интеграция теоретических вопросов;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32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3. предоставление соответствующих примеров;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ind w:left="32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90–100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both"/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Ind w:w="0.0" w:type="dxa"/>
        <w:tblLayout w:type="fixed"/>
        <w:tblLook w:val="0400"/>
      </w:tblPr>
      <w:tblGrid>
        <w:gridCol w:w="1380"/>
        <w:gridCol w:w="6855"/>
        <w:gridCol w:w="1365"/>
        <w:tblGridChange w:id="0">
          <w:tblGrid>
            <w:gridCol w:w="1380"/>
            <w:gridCol w:w="6855"/>
            <w:gridCol w:w="1365"/>
          </w:tblGrid>
        </w:tblGridChange>
      </w:tblGrid>
      <w:tr>
        <w:trPr>
          <w:cantSplit w:val="0"/>
          <w:trHeight w:val="13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ind w:left="20" w:firstLine="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4. Углубленный анализ и теоретическое обоснование данной проблемы (если применимо), выявление и интерпретация всех ключевых аспектов;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before="15" w:lineRule="auto"/>
              <w:ind w:left="3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5. свободное владение профессиональной терминологией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291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ind w:left="2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хорошо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ind w:left="27" w:right="15" w:firstLine="2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1. все ключевые аспекты включены и представлены логически; 2. постоянное внимание к вопросу с удовлетворительной точностью, релевантностью и / или некоторой избыточностью;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before="15" w:lineRule="auto"/>
              <w:ind w:left="32" w:right="1648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3. удовлетворительная интеграция теоретических вопросов; 3. отсутствие примеров;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before="21" w:lineRule="auto"/>
              <w:ind w:left="20" w:right="2" w:firstLine="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4. удовлетворительный анализ и теоретическое обоснование данной проблемы (если применимо), выявление и интерпретация большинства ключевых аспектов;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3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5. правильное использование профессиональной терминологии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ind w:left="31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75 - 89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before="1555" w:lineRule="auto"/>
              <w:ind w:left="4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before="292" w:lineRule="auto"/>
              <w:ind w:left="4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Включено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большинство ключевых аспектов;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27" w:right="12" w:hanging="2.9999999999999982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2. удовлетворительное внимание к вопросу - некоторые упущения уместности и / или заметная избыточность;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20" w:firstLine="12.000000000000002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3. Теоретические вопросы представлены без заметной интеграции; 3. Предоставление неудачных примеров или их отсутствие; 4. некоторый анализ и теоретическое обоснование данной проблемы (если применимо), выявление и интерпретация большинства ключевых аспектов;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3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5. правильное использование профессиональной терминологии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ind w:left="3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50 - 70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before="1540" w:lineRule="auto"/>
              <w:ind w:left="5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before="292" w:lineRule="auto"/>
              <w:ind w:left="4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ind w:left="22" w:right="6" w:hanging="1.0000000000000009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неудовлетворительно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ind w:left="5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1. упущено большинство ключевых моментов;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23" w:right="8" w:firstLine="2.9999999999999982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2. Отсутствие внимания к вопросу - отсутствие актуальности и заметная избыточность;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32" w:right="1375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3. некоторые теоретические вопросы представлены так или иначе; 3. нет или не относящиеся к делу примеры;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left="20" w:firstLine="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4. некоторый анализ и теоретическое обоснование данной проблемы (если применимо), большинство ключевых аспектов упущены; 5. упущения в использовании профессиональной терминологии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ind w:left="2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25–49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before="1540" w:lineRule="auto"/>
              <w:ind w:left="4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ind w:left="32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не удалось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ind w:left="5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1. упущено большинство или все ключевые аспекты;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26" w:right="1585" w:hanging="6.00000000000000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2. отсутствие акцента на вопросе, несущественная информация; 3. пропущенные или поверхностные теоретические вопросы;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before="21" w:lineRule="auto"/>
              <w:ind w:left="32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3. нет или не относящиеся к делу примеры;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20" w:right="5" w:firstLine="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4. отсутствие анализа и теоретического обоснования данной проблемы (если применимо), упущено большинство ключевых аспектов; 5. упущения в использовании профессиональной терминологии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ind w:left="31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0-24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right="3724"/>
        <w:jc w:val="right"/>
        <w:rPr>
          <w:rFonts w:ascii="Times" w:cs="Times" w:eastAsia="Times" w:hAnsi="Times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Система оценок</w:t>
      </w:r>
      <w:r w:rsidDel="00000000" w:rsidR="00000000" w:rsidRPr="00000000">
        <w:rPr>
          <w:rtl w:val="0"/>
        </w:rPr>
      </w:r>
    </w:p>
    <w:tbl>
      <w:tblPr>
        <w:tblStyle w:val="Table3"/>
        <w:tblW w:w="9487.0" w:type="dxa"/>
        <w:jc w:val="left"/>
        <w:tblInd w:w="10.0" w:type="dxa"/>
        <w:tblLayout w:type="fixed"/>
        <w:tblLook w:val="0400"/>
      </w:tblPr>
      <w:tblGrid>
        <w:gridCol w:w="1868"/>
        <w:gridCol w:w="3059"/>
        <w:gridCol w:w="1783"/>
        <w:gridCol w:w="2777"/>
        <w:tblGridChange w:id="0">
          <w:tblGrid>
            <w:gridCol w:w="1868"/>
            <w:gridCol w:w="3059"/>
            <w:gridCol w:w="1783"/>
            <w:gridCol w:w="2777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Буквенная оценка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Цифровой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before="3" w:lineRule="auto"/>
              <w:ind w:right="18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эквивалент оценки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% содержание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Традиционная системная оценка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,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95–100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отлично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5.0" w:type="dxa"/>
        <w:jc w:val="left"/>
        <w:tblInd w:w="10.0" w:type="dxa"/>
        <w:tblLayout w:type="fixed"/>
        <w:tblLook w:val="0400"/>
      </w:tblPr>
      <w:tblGrid>
        <w:gridCol w:w="1875"/>
        <w:gridCol w:w="3075"/>
        <w:gridCol w:w="1770"/>
        <w:gridCol w:w="2775"/>
        <w:tblGridChange w:id="0">
          <w:tblGrid>
            <w:gridCol w:w="1875"/>
            <w:gridCol w:w="3075"/>
            <w:gridCol w:w="1770"/>
            <w:gridCol w:w="277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3,67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90-94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В 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3,33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85-89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хорошо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80-84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, 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75-79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 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, 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70-74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удовлетворительно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,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65–69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1,67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60–64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1,33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55-59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ind w:right="76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          1,0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50-54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5-49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неудовлетворительно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before="334" w:lineRule="auto"/>
              <w:ind w:left="330" w:right="28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«Дисциплина не завершена»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(не принимается во внимание при подсчете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GPA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0-24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(Incomplete)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(Pass)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«Зачтено»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ind w:left="370" w:right="314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(не учитывается при подсчете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GPA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before="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(No Pass)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Не зачтено»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before="3" w:lineRule="auto"/>
              <w:ind w:left="370" w:right="314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(не учитывается при подсчете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GPA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ind w:right="738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(Withdrawal)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«Отказ от дисциплины»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ind w:left="370" w:right="314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(не учитывается при подсчете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GPA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before="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(Academic withdrawal)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ind w:left="370" w:right="314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Отказ по академическим причинам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(не учитывается при подсчете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GPA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ind w:right="678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AU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(Аудит)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«Дисциплина прослушана»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ind w:left="370" w:right="314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(не учитывается при при подсчете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GPA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Атт.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30-60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before="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50–100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Аттестован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Не атт.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0–29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before="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0–49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аттестован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(Пересдача)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Повторное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изучение дисциплины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Основная литература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Human Genetics, Ricki Lewis. 2018</w:t>
      </w:r>
    </w:p>
    <w:p w:rsidR="00000000" w:rsidDel="00000000" w:rsidP="00000000" w:rsidRDefault="00000000" w:rsidRPr="00000000" w14:paraId="000000CA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Medical Genetics at a Glance, Dorian J.Pritchard, Bruce R.Korf. 2013</w:t>
      </w:r>
    </w:p>
    <w:p w:rsidR="00000000" w:rsidDel="00000000" w:rsidP="00000000" w:rsidRDefault="00000000" w:rsidRPr="00000000" w14:paraId="000000CB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Basic pathology, Robbins and Cotran Pathologic Basis of Disease [Electronic resource]: textbook / ed.: V. Kumar, A. Abbas, J. Aster. - Philadelphia : Elsevier Saunders, 2015. - 1392 p. - ISBN 978-1-4557-2613-4 : 0.00</w:t>
      </w:r>
    </w:p>
    <w:p w:rsidR="00000000" w:rsidDel="00000000" w:rsidP="00000000" w:rsidRDefault="00000000" w:rsidRPr="00000000" w14:paraId="000000CC">
      <w:pPr>
        <w:ind w:left="425" w:firstLine="0"/>
        <w:jc w:val="both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Дополнительная 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Zhanna Mussazhanova et al.  The Contribution of Genetic Variants to the Risk of Papillary Thyroid Carcinoma in the Kazakh Population: Study of Common Single Nucleotide Polymorphisms and Their Clinicopathological Correlations. Front Endocrinol 2021 doi: 10.3389/fendo.2020.543500.</w:t>
      </w:r>
    </w:p>
    <w:p w:rsidR="00000000" w:rsidDel="00000000" w:rsidP="00000000" w:rsidRDefault="00000000" w:rsidRPr="00000000" w14:paraId="000000D0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Zhanna Mussazhanova, et al. Immunohistochemical and Molecular Analyses Focusing on Mesenchymal Cells in Papillary Thyroid Carcinoma with Desmoid-Type Fibromatosis. Pathobiology. 2018. DOI: 10.1159/000492117</w:t>
      </w:r>
    </w:p>
    <w:p w:rsidR="00000000" w:rsidDel="00000000" w:rsidP="00000000" w:rsidRDefault="00000000" w:rsidRPr="00000000" w14:paraId="000000D1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Maria Romano et al. A Structural View of SARS-CoV-2 RNA Replication Machinery: RNA Synthesis, Proofreading and Final Capping. Cell. 2020. doi:10.3390/cells9051267</w:t>
      </w:r>
    </w:p>
    <w:p w:rsidR="00000000" w:rsidDel="00000000" w:rsidP="00000000" w:rsidRDefault="00000000" w:rsidRPr="00000000" w14:paraId="000000D2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Adriaan H. de Wilde et al. Host Factors in Coronavirus Replication. Microbiology and Immunology. 2018. DOI 10.1007/82_2017_25</w:t>
      </w:r>
    </w:p>
    <w:p w:rsidR="00000000" w:rsidDel="00000000" w:rsidP="00000000" w:rsidRDefault="00000000" w:rsidRPr="00000000" w14:paraId="000000D3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Zhanna Mussazhanova, et al.  Association between p53-binding protein 1 expression and genomic instability in oncocytic follicular adenoma of the thyroid. Endocr J. 2016 doi: 10.1507/endocrj.EJ15-0629.</w:t>
      </w:r>
    </w:p>
    <w:p w:rsidR="00000000" w:rsidDel="00000000" w:rsidP="00000000" w:rsidRDefault="00000000" w:rsidRPr="00000000" w14:paraId="000000D4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Zhanna Mussazhanova, et al. A Novel Diagnostic Method for Thyroid Follicular Tumors Based on Immunofluorescence Analysis of p53-Binding Protein 1 Expression: Detection of Genomic Instability. Thyroid. 2019. doi: 10.1089/thy.2018.0548.</w:t>
      </w:r>
    </w:p>
    <w:p w:rsidR="00000000" w:rsidDel="00000000" w:rsidP="00000000" w:rsidRDefault="00000000" w:rsidRPr="00000000" w14:paraId="000000D5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Zhanna Mussazhanova et al. Causative role for defective expression of mitochondria-eating protein in accumulation of mitochondria in thyroid oncocytic cell tumors. Cancer Sci. 2020. doi:10.1111/cas.14501.</w:t>
      </w:r>
    </w:p>
    <w:p w:rsidR="00000000" w:rsidDel="00000000" w:rsidP="00000000" w:rsidRDefault="00000000" w:rsidRPr="00000000" w14:paraId="000000D6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Cornelia C. Bergmann, COVID-19: Coronavirus replication, pathogenesis, and therapeutic strategies. 2020. doi:10.3949/ccjm.87a.20047</w:t>
      </w:r>
    </w:p>
    <w:p w:rsidR="00000000" w:rsidDel="00000000" w:rsidP="00000000" w:rsidRDefault="00000000" w:rsidRPr="00000000" w14:paraId="000000D7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Yan-Rong Guo et al. The origin, transmission and clinical therapies on coronavirus disease 2019 (COVID-19) outbreak – an update on the status. Military Medical Research 2020, https://doi.org/10.1186/s40779-020-00240-0</w:t>
      </w:r>
    </w:p>
    <w:p w:rsidR="00000000" w:rsidDel="00000000" w:rsidP="00000000" w:rsidRDefault="00000000" w:rsidRPr="00000000" w14:paraId="000000D8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Adriaan H. et al. Host Factors in Coronavirus Replication. Microbiology and Immunology, 2018, DOI 10.1007/82_2017_25</w:t>
      </w:r>
    </w:p>
    <w:p w:rsidR="00000000" w:rsidDel="00000000" w:rsidP="00000000" w:rsidRDefault="00000000" w:rsidRPr="00000000" w14:paraId="000000D9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Gupta and Mania-Pramanik, Molecular mechanisms in progression of HPV-associated cervical carcinogenesis. Journal of Biomedical Science.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2019,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https://doi.org/10.1186/s12929-019-0520-2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Min Lin et al. Recent Advances on the Molecular Mechanism of Cervical Carcinogenesi. 2019.https://doi.org/10.1016/j.csbj.2019.02.001</w:t>
      </w:r>
    </w:p>
    <w:p w:rsidR="00000000" w:rsidDel="00000000" w:rsidP="00000000" w:rsidRDefault="00000000" w:rsidRPr="00000000" w14:paraId="000000DB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Ryota Otsubo et al.  A Novel Diagnostic Method for Thyroid Follicular Tumors Based on Immunofluorescence Analysis of p53-Binding Protein 1 expression: Detection of genomic instability. THYROID. 2019, DOI: 10.1089/thy.2018.0548</w:t>
      </w:r>
    </w:p>
    <w:p w:rsidR="00000000" w:rsidDel="00000000" w:rsidP="00000000" w:rsidRDefault="00000000" w:rsidRPr="00000000" w14:paraId="000000DC">
      <w:pPr>
        <w:ind w:right="173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msonormal0" w:customStyle="1">
    <w:name w:val="msonormal"/>
    <w:basedOn w:val="a"/>
    <w:rsid w:val="0090485E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 w:val="1"/>
    <w:unhideWhenUsed w:val="1"/>
    <w:rsid w:val="0090485E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ru-RU"/>
    </w:rPr>
  </w:style>
  <w:style w:type="character" w:styleId="a5">
    <w:name w:val="Hyperlink"/>
    <w:basedOn w:val="a0"/>
    <w:uiPriority w:val="99"/>
    <w:unhideWhenUsed w:val="1"/>
    <w:rsid w:val="0090485E"/>
    <w:rPr>
      <w:color w:val="0000ff"/>
      <w:u w:val="single"/>
    </w:rPr>
  </w:style>
  <w:style w:type="character" w:styleId="a6">
    <w:name w:val="FollowedHyperlink"/>
    <w:basedOn w:val="a0"/>
    <w:uiPriority w:val="99"/>
    <w:semiHidden w:val="1"/>
    <w:unhideWhenUsed w:val="1"/>
    <w:rsid w:val="0090485E"/>
    <w:rPr>
      <w:color w:val="800080"/>
      <w:u w:val="single"/>
    </w:rPr>
  </w:style>
  <w:style w:type="paragraph" w:styleId="a7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ac">
    <w:name w:val="List Paragraph"/>
    <w:basedOn w:val="a"/>
    <w:uiPriority w:val="34"/>
    <w:qFormat w:val="1"/>
    <w:rsid w:val="0099030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doi.org/10.1186/s12929-019-0520-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assroom.google.com" TargetMode="External"/><Relationship Id="rId8" Type="http://schemas.openxmlformats.org/officeDocument/2006/relationships/hyperlink" Target="https://classroom.googl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Lu6wriIoDga9X942YlwDp1F9Qg==">AMUW2mXg22rud0Q26tP3pQ7Y+lrjUOg8k3XWo04lxFCBsj25nLKeB7Ml/dJN4qMl/Qik7U2tFtR0lwFhjHutksqAhkobIkyjqjYp4QfvrNhKds1JgKPfLy4=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2021-11-15T08:06:00Z</dcterms:created>
  <dc:creator>ersajynm@mail.ru</dc:creator>
</cp:coreProperties>
</file>